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5"/>
        <w:tblW w:w="9356" w:type="dxa"/>
        <w:tblLayout w:type="fixed"/>
        <w:tblLook w:val="04A0" w:firstRow="1" w:lastRow="0" w:firstColumn="1" w:lastColumn="0" w:noHBand="0" w:noVBand="1"/>
      </w:tblPr>
      <w:tblGrid>
        <w:gridCol w:w="4957"/>
        <w:gridCol w:w="4399"/>
      </w:tblGrid>
      <w:tr w:rsidR="007D4DAA"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:rsidR="007D4DAA" w:rsidRDefault="007D4DAA">
            <w:pPr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7D4DAA" w:rsidRDefault="007D4DAA">
            <w:pPr>
              <w:jc w:val="both"/>
              <w:rPr>
                <w:sz w:val="28"/>
                <w:szCs w:val="28"/>
              </w:rPr>
            </w:pPr>
          </w:p>
          <w:p w:rsidR="007D4DAA" w:rsidRDefault="007D4DAA">
            <w:pPr>
              <w:jc w:val="both"/>
              <w:rPr>
                <w:sz w:val="28"/>
                <w:szCs w:val="28"/>
              </w:rPr>
            </w:pPr>
          </w:p>
          <w:p w:rsidR="007D4DAA" w:rsidRDefault="007D4D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</w:tcPr>
          <w:p w:rsidR="007D4DAA" w:rsidRDefault="00790B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7D4DAA" w:rsidRDefault="007D4DAA">
            <w:pPr>
              <w:jc w:val="both"/>
              <w:rPr>
                <w:sz w:val="28"/>
                <w:szCs w:val="28"/>
              </w:rPr>
            </w:pPr>
          </w:p>
          <w:p w:rsidR="007D4DAA" w:rsidRDefault="00790B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7D4DAA" w:rsidRDefault="00790B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7D4DAA" w:rsidRDefault="00790B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:rsidR="007D4DAA" w:rsidRDefault="00790B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Северский муниципальный район</w:t>
            </w:r>
          </w:p>
          <w:p w:rsidR="007D4DAA" w:rsidRDefault="00790B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Краснодарского края</w:t>
            </w:r>
          </w:p>
          <w:p w:rsidR="007D4DAA" w:rsidRDefault="00790B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 № ______</w:t>
            </w:r>
          </w:p>
          <w:p w:rsidR="007D4DAA" w:rsidRDefault="007D4DAA">
            <w:pPr>
              <w:jc w:val="both"/>
              <w:rPr>
                <w:sz w:val="28"/>
                <w:szCs w:val="28"/>
              </w:rPr>
            </w:pPr>
          </w:p>
        </w:tc>
      </w:tr>
    </w:tbl>
    <w:p w:rsidR="007D4DAA" w:rsidRDefault="007D4DAA">
      <w:pPr>
        <w:pStyle w:val="af3"/>
        <w:spacing w:beforeAutospacing="0" w:afterAutospacing="0"/>
        <w:ind w:firstLine="709"/>
        <w:jc w:val="center"/>
        <w:rPr>
          <w:b/>
          <w:bCs/>
          <w:sz w:val="28"/>
          <w:szCs w:val="28"/>
        </w:rPr>
      </w:pPr>
    </w:p>
    <w:p w:rsidR="007D4DAA" w:rsidRDefault="007D4DAA">
      <w:pPr>
        <w:pStyle w:val="af3"/>
        <w:spacing w:beforeAutospacing="0" w:afterAutospacing="0"/>
        <w:ind w:firstLine="709"/>
        <w:jc w:val="center"/>
        <w:rPr>
          <w:b/>
          <w:bCs/>
          <w:sz w:val="28"/>
          <w:szCs w:val="28"/>
        </w:rPr>
      </w:pPr>
    </w:p>
    <w:p w:rsidR="007D4DAA" w:rsidRDefault="00790BA0">
      <w:pPr>
        <w:pStyle w:val="af3"/>
        <w:spacing w:beforeAutospacing="0" w:afterAutospacing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ПОРЯДОК </w:t>
      </w:r>
    </w:p>
    <w:p w:rsidR="007D4DAA" w:rsidRDefault="00790BA0">
      <w:pPr>
        <w:pStyle w:val="af3"/>
        <w:spacing w:beforeAutospacing="0" w:afterAutospacing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принятия решений о заключении соглашений </w:t>
      </w:r>
    </w:p>
    <w:p w:rsidR="007D4DAA" w:rsidRDefault="00790BA0">
      <w:pPr>
        <w:pStyle w:val="af3"/>
        <w:spacing w:beforeAutospacing="0" w:afterAutospacing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 </w:t>
      </w:r>
      <w:proofErr w:type="spellStart"/>
      <w:r>
        <w:rPr>
          <w:b/>
          <w:bCs/>
          <w:sz w:val="28"/>
          <w:szCs w:val="28"/>
        </w:rPr>
        <w:t>муниципально</w:t>
      </w:r>
      <w:proofErr w:type="spellEnd"/>
      <w:r>
        <w:rPr>
          <w:b/>
          <w:bCs/>
          <w:sz w:val="28"/>
          <w:szCs w:val="28"/>
        </w:rPr>
        <w:t xml:space="preserve">-частном партнерстве, концессионных </w:t>
      </w:r>
    </w:p>
    <w:p w:rsidR="007D4DAA" w:rsidRDefault="00790BA0">
      <w:pPr>
        <w:pStyle w:val="af3"/>
        <w:spacing w:beforeAutospacing="0" w:afterAutospacing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соглашений от имени муниципального образования </w:t>
      </w:r>
    </w:p>
    <w:p w:rsidR="007D4DAA" w:rsidRDefault="00790BA0">
      <w:pPr>
        <w:pStyle w:val="af3"/>
        <w:spacing w:beforeAutospacing="0" w:afterAutospacing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Северский муниципальный район на срок, </w:t>
      </w:r>
    </w:p>
    <w:p w:rsidR="007D4DAA" w:rsidRDefault="00790BA0">
      <w:pPr>
        <w:pStyle w:val="af3"/>
        <w:spacing w:beforeAutospacing="0" w:afterAutospacing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превышающий срок действия утвержденных </w:t>
      </w:r>
    </w:p>
    <w:p w:rsidR="007D4DAA" w:rsidRDefault="00790BA0">
      <w:pPr>
        <w:pStyle w:val="af3"/>
        <w:spacing w:beforeAutospacing="0" w:afterAutospacing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лимитов бюджетных обязательств</w:t>
      </w:r>
    </w:p>
    <w:p w:rsidR="007D4DAA" w:rsidRDefault="007D4DAA">
      <w:pPr>
        <w:pStyle w:val="af3"/>
        <w:spacing w:beforeAutospacing="0" w:afterAutospacing="0"/>
        <w:ind w:firstLine="709"/>
        <w:jc w:val="both"/>
        <w:rPr>
          <w:b/>
          <w:bCs/>
          <w:sz w:val="28"/>
          <w:szCs w:val="28"/>
        </w:rPr>
      </w:pP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Настоящий Порядок разработан на основании пункта 9 статьи 78 </w:t>
      </w:r>
      <w:hyperlink r:id="rId7" w:tgtFrame="_blank">
        <w:r>
          <w:rPr>
            <w:sz w:val="28"/>
            <w:szCs w:val="28"/>
          </w:rPr>
          <w:t>Бюджетного кодекса Российской Федерации</w:t>
        </w:r>
      </w:hyperlink>
      <w:r>
        <w:rPr>
          <w:sz w:val="28"/>
          <w:szCs w:val="28"/>
        </w:rPr>
        <w:t>, в соответствии с федераль</w:t>
      </w:r>
      <w:r>
        <w:rPr>
          <w:sz w:val="28"/>
          <w:szCs w:val="28"/>
        </w:rPr>
        <w:t xml:space="preserve">ными законами от 21 июля 2015 года № 115-ФЗ «О концессионных соглашениях» (далее – Федеральный закон № 115-ФЗ) и </w:t>
      </w:r>
      <w:hyperlink r:id="rId8" w:tgtFrame="_blank">
        <w:r>
          <w:rPr>
            <w:sz w:val="28"/>
            <w:szCs w:val="28"/>
          </w:rPr>
          <w:t>от 13 июля 2015 г</w:t>
        </w:r>
        <w:r>
          <w:rPr>
            <w:sz w:val="28"/>
            <w:szCs w:val="28"/>
          </w:rPr>
          <w:t>ода № 224-ФЗ</w:t>
        </w:r>
      </w:hyperlink>
      <w:r>
        <w:rPr>
          <w:sz w:val="28"/>
          <w:szCs w:val="28"/>
        </w:rPr>
        <w:t xml:space="preserve"> «О государственно-частном партнерстве,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партнерстве в Российской Федерации и внесении изменений в отдельные законодательные акты Российской Федерации» (далее – Федеральный закон № 224-ФЗ) и регламентирует процедуру принятия</w:t>
      </w:r>
      <w:r>
        <w:rPr>
          <w:sz w:val="28"/>
          <w:szCs w:val="28"/>
        </w:rPr>
        <w:t xml:space="preserve"> решений о заключении соглашений 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партнерстве и концессионных соглашений от имени муниципального образования Северский муниципальный район на срок, превышающий срок действия утвержденных лимитов бюджетных обязательств.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Решение о за</w:t>
      </w:r>
      <w:r>
        <w:rPr>
          <w:sz w:val="28"/>
          <w:szCs w:val="28"/>
        </w:rPr>
        <w:t xml:space="preserve">ключении соглашения 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 xml:space="preserve">-частном партнерстве, концессионного соглашения от имени муниципального образования Северский муниципальный район на срок, превышающий срок действия утвержденных лимитов бюджетных обязательств (далее - соглашение о </w:t>
      </w:r>
      <w:proofErr w:type="spellStart"/>
      <w:r>
        <w:rPr>
          <w:sz w:val="28"/>
          <w:szCs w:val="28"/>
        </w:rPr>
        <w:t>муницип</w:t>
      </w:r>
      <w:r>
        <w:rPr>
          <w:sz w:val="28"/>
          <w:szCs w:val="28"/>
        </w:rPr>
        <w:t>ально</w:t>
      </w:r>
      <w:proofErr w:type="spellEnd"/>
      <w:r>
        <w:rPr>
          <w:sz w:val="28"/>
          <w:szCs w:val="28"/>
        </w:rPr>
        <w:t xml:space="preserve">-частном партнерстве, концессионное соглашение), принимается администрацией муниципального образования Северский муниципальный район в отношении объекта соглашения 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партнерстве, концессионного соглашения, право собственности на к</w:t>
      </w:r>
      <w:r>
        <w:rPr>
          <w:sz w:val="28"/>
          <w:szCs w:val="28"/>
        </w:rPr>
        <w:t>оторое принадлежит муниципальному образованию Северский район, и оформляется в форме постановления администрации муниципального образования Северский муниципальный район.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о заключении соглашения 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партнерстве, концессионного</w:t>
      </w:r>
      <w:r>
        <w:rPr>
          <w:sz w:val="28"/>
          <w:szCs w:val="28"/>
        </w:rPr>
        <w:t xml:space="preserve"> соглашения принимается в отношении имущества, находящегося в собственности муниципального образования Северский му</w:t>
      </w:r>
      <w:r>
        <w:rPr>
          <w:sz w:val="28"/>
          <w:szCs w:val="28"/>
        </w:rPr>
        <w:lastRenderedPageBreak/>
        <w:t xml:space="preserve">ниципальный район, или которое будет находиться в собственности муниципального образования Северский район по условиям соглашения о </w:t>
      </w:r>
      <w:proofErr w:type="spellStart"/>
      <w:r>
        <w:rPr>
          <w:sz w:val="28"/>
          <w:szCs w:val="28"/>
        </w:rPr>
        <w:t>муниципал</w:t>
      </w:r>
      <w:r>
        <w:rPr>
          <w:sz w:val="28"/>
          <w:szCs w:val="28"/>
        </w:rPr>
        <w:t>ьно</w:t>
      </w:r>
      <w:proofErr w:type="spellEnd"/>
      <w:r>
        <w:rPr>
          <w:sz w:val="28"/>
          <w:szCs w:val="28"/>
        </w:rPr>
        <w:t>-частном партнерстве, концессионного соглашения.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объектов, в отношении которых заключаются концессионные соглашения, определен статьей 4 Федерального закона № 115-ФЗ.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объектов, в отношении которых заключаются соглашения 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частном партнерстве, определен статьей 7 Федерального </w:t>
      </w:r>
      <w:proofErr w:type="gramStart"/>
      <w:r>
        <w:rPr>
          <w:sz w:val="28"/>
          <w:szCs w:val="28"/>
        </w:rPr>
        <w:t xml:space="preserve">закона </w:t>
      </w:r>
      <w:hyperlink r:id="rId9" w:tgtFrame="_blank">
        <w:r>
          <w:rPr>
            <w:sz w:val="28"/>
            <w:szCs w:val="28"/>
          </w:rPr>
          <w:t xml:space="preserve"> №</w:t>
        </w:r>
        <w:proofErr w:type="gramEnd"/>
        <w:r>
          <w:rPr>
            <w:sz w:val="28"/>
            <w:szCs w:val="28"/>
          </w:rPr>
          <w:t xml:space="preserve"> 224-ФЗ</w:t>
        </w:r>
      </w:hyperlink>
      <w:r>
        <w:rPr>
          <w:sz w:val="28"/>
          <w:szCs w:val="28"/>
        </w:rPr>
        <w:t> 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Предложения о заключении концессионного соглашения с у</w:t>
      </w:r>
      <w:r>
        <w:rPr>
          <w:sz w:val="28"/>
          <w:szCs w:val="28"/>
        </w:rPr>
        <w:t>казанием объекта соглашения могут вносится в администрацию муниципального образования Северский муниципальный район (далее – администрация) юридическими лицами и индивидуальными предпринимателями до проведения конкурса на право заключения концессионного со</w:t>
      </w:r>
      <w:r>
        <w:rPr>
          <w:sz w:val="28"/>
          <w:szCs w:val="28"/>
        </w:rPr>
        <w:t>глашения в целях принятия решения о целесообразности передачи какого-либо объекта на условиях концессионного соглашения (выставления на конкурс).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Предложение о заключении соглашения 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партнерстве с указанием объекта соглашения могут вн</w:t>
      </w:r>
      <w:r>
        <w:rPr>
          <w:sz w:val="28"/>
          <w:szCs w:val="28"/>
        </w:rPr>
        <w:t>оситься в администрацию муниципального образования Северский муниципальный район юридическими лицами в целях принятия решения о целесообразности объединения ресурсов, распределения рисков между публичным партнером и частным партнером.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Решение о заключен</w:t>
      </w:r>
      <w:r>
        <w:rPr>
          <w:sz w:val="28"/>
          <w:szCs w:val="28"/>
        </w:rPr>
        <w:t>ии концессионного соглашения должно соответствовать требованиям, установленным статьей 22 Федерального закона 115-ФЗ.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 заключении соглашения 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партнерстве должно соответствовать требованиям, установленным статьей 10 Федерально</w:t>
      </w:r>
      <w:r>
        <w:rPr>
          <w:sz w:val="28"/>
          <w:szCs w:val="28"/>
        </w:rPr>
        <w:t>го закона </w:t>
      </w:r>
      <w:hyperlink r:id="rId10" w:tgtFrame="_blank">
        <w:r>
          <w:rPr>
            <w:sz w:val="28"/>
            <w:szCs w:val="28"/>
          </w:rPr>
          <w:t>№ 224-ФЗ</w:t>
        </w:r>
      </w:hyperlink>
      <w:r>
        <w:rPr>
          <w:sz w:val="28"/>
          <w:szCs w:val="28"/>
        </w:rPr>
        <w:t> и принимается в форме постановления администрации муниципального образования Северский муниципальный район.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sz w:val="28"/>
          <w:szCs w:val="28"/>
        </w:rPr>
        <w:t xml:space="preserve">Проект постановления администрации о принятии решения о заключении соглашения 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партнерстве или концессионного соглашения (далее – проект постановления) готовит отраслевой (функциональный) орган администрации (далее – отраслевой орган)</w:t>
      </w:r>
      <w:r>
        <w:rPr>
          <w:sz w:val="28"/>
          <w:szCs w:val="28"/>
        </w:rPr>
        <w:t>, в ведении которого находится предполагаемый объект соответствующего соглашения, и в обязательном порядке согласовывает с  управлением экономики, инвестиций и прогнозирования и финансовым управлением администрации муниципального образования Северский муни</w:t>
      </w:r>
      <w:r>
        <w:rPr>
          <w:sz w:val="28"/>
          <w:szCs w:val="28"/>
        </w:rPr>
        <w:t>ципальный район.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данному проекту постановления прилагаются следующие документы: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объекте соглашения, в том числе его технико-экономические показатели;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предполагаемый объем инвестиций в создание и (или) реконструкцию объекта соглашения;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со</w:t>
      </w:r>
      <w:r>
        <w:rPr>
          <w:sz w:val="28"/>
          <w:szCs w:val="28"/>
        </w:rPr>
        <w:t>глашения, в том числе срок окупаемости предполагаемых инвестиций;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объем производства товаров, выполнения работ, оказания услуг и предельные цены (тарифы) на производимые товары, выполняемые работы, оказываемые услуги, надбавки к ценам (тарифам) при осущест</w:t>
      </w:r>
      <w:r>
        <w:rPr>
          <w:sz w:val="28"/>
          <w:szCs w:val="28"/>
        </w:rPr>
        <w:t>влении деятельности, предусмотренной соглашением;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об укомплектованности объектами предлагаемого к заключению соглашения 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партнерстве или концессионного соглашения на территории </w:t>
      </w:r>
      <w:r>
        <w:rPr>
          <w:color w:val="000000"/>
          <w:sz w:val="28"/>
          <w:szCs w:val="28"/>
        </w:rPr>
        <w:t>муниципального образования Северский район.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>
        <w:rPr>
          <w:sz w:val="28"/>
          <w:szCs w:val="28"/>
        </w:rPr>
        <w:t xml:space="preserve">Управление экономики, инвестиций и прогнозирования рассматривает проект постановления о принятии решения о заключении соглашения 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партнерстве или концессионного соглашения в течение 3 рабочих дней с даты поступления указанного проекта</w:t>
      </w:r>
      <w:r>
        <w:rPr>
          <w:sz w:val="28"/>
          <w:szCs w:val="28"/>
        </w:rPr>
        <w:t xml:space="preserve"> и согласовывает его с учетом следующих положений: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основным направлениям социально-экономического развития муниципального образования Северский муниципальный район;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отсутствие укомплектованности объектами предлагаемого к заключению соглашения </w:t>
      </w:r>
      <w:r>
        <w:rPr>
          <w:sz w:val="28"/>
          <w:szCs w:val="28"/>
        </w:rPr>
        <w:t xml:space="preserve">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партнерстве или концессионного соглашения на территории </w:t>
      </w:r>
      <w:r>
        <w:rPr>
          <w:color w:val="000000"/>
          <w:sz w:val="28"/>
          <w:szCs w:val="28"/>
        </w:rPr>
        <w:t>Северского района (на основании информации, предоставленной отраслевым органом)</w:t>
      </w:r>
      <w:r>
        <w:rPr>
          <w:sz w:val="28"/>
          <w:szCs w:val="28"/>
        </w:rPr>
        <w:t>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несогласования проекта постановления управление экономики, инвестиций и прогнозирования</w:t>
      </w:r>
      <w:r>
        <w:rPr>
          <w:sz w:val="28"/>
          <w:szCs w:val="28"/>
        </w:rPr>
        <w:t xml:space="preserve"> готовит отрицательное заключение на проект постановления данный и возвращает его в день принятия отрицательного заключения отраслевому органу для доработки либо для подготовки отказа от заключения соглашения.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согласования проекта постановления уп</w:t>
      </w:r>
      <w:r>
        <w:rPr>
          <w:sz w:val="28"/>
          <w:szCs w:val="28"/>
        </w:rPr>
        <w:t>равление экономики, инвестиций и прогнозирования направляет его с информацией отраслевого органа, указанной в пункте 6 настоящего Порядка в финансовое управление в день принятия заключения.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Финансовое управление рассматривает проект постановления о прин</w:t>
      </w:r>
      <w:r>
        <w:rPr>
          <w:sz w:val="28"/>
          <w:szCs w:val="28"/>
        </w:rPr>
        <w:t xml:space="preserve">ятии решения о заключении соглашения 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партнерстве или концессионного соглашения в течение 7 рабочих дней с даты поступления указанного проекта с учетом его соответствия бюджетной и налоговой политике муниципального образования Северск</w:t>
      </w:r>
      <w:r>
        <w:rPr>
          <w:sz w:val="28"/>
          <w:szCs w:val="28"/>
        </w:rPr>
        <w:t>ий муниципальный район.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Решение администрации о целесообразности заключении соглашения 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 xml:space="preserve">-частном партнерстве, концессионного соглашения на срок, превышающий срок действия утвержденных лимитов бюджетных обязательств, принимается в случае, </w:t>
      </w:r>
      <w:r>
        <w:rPr>
          <w:sz w:val="28"/>
          <w:szCs w:val="28"/>
        </w:rPr>
        <w:t xml:space="preserve">когда срок финансовых обязательств публичного партнера по соглашению 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 xml:space="preserve">–частном партнерстве, срок финансовых обязательств </w:t>
      </w:r>
      <w:proofErr w:type="spellStart"/>
      <w:r>
        <w:rPr>
          <w:sz w:val="28"/>
          <w:szCs w:val="28"/>
        </w:rPr>
        <w:t>концедента</w:t>
      </w:r>
      <w:proofErr w:type="spellEnd"/>
      <w:r>
        <w:rPr>
          <w:sz w:val="28"/>
          <w:szCs w:val="28"/>
        </w:rPr>
        <w:t xml:space="preserve"> по концессионному соглашению превышают срок действия утвержденных лимитов бюджетных обязательств.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Годовой преде</w:t>
      </w:r>
      <w:r>
        <w:rPr>
          <w:sz w:val="28"/>
          <w:szCs w:val="28"/>
        </w:rPr>
        <w:t xml:space="preserve">льный объем средств, предусматриваемых на исполнение обязательств по соглашению 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 xml:space="preserve">-частном партнерстве, концессионному соглашению за пределами срока действия утвержденных лимитов бюджетных обязательств, не может превышать максимальный годовой </w:t>
      </w:r>
      <w:r>
        <w:rPr>
          <w:sz w:val="28"/>
          <w:szCs w:val="28"/>
        </w:rPr>
        <w:lastRenderedPageBreak/>
        <w:t>о</w:t>
      </w:r>
      <w:r>
        <w:rPr>
          <w:sz w:val="28"/>
          <w:szCs w:val="28"/>
        </w:rPr>
        <w:t>бъем бюджетных ассигнований, предусмотренных на предоставление их частному партнеру, концессионеру, в пределах планового периода.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настоящего Порядка под плановым периодом понимается срок действия утвержденных лимитов бюджетных обязательств.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</w:t>
      </w:r>
      <w:r>
        <w:rPr>
          <w:sz w:val="28"/>
          <w:szCs w:val="28"/>
        </w:rPr>
        <w:t xml:space="preserve">вое управление согласовывает проект постановления при условии не превышения годового предельного объема средств бюджета муниципального образования Северский муниципальный район, предусмотренном на финансирование соглашения 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партнерств</w:t>
      </w:r>
      <w:r>
        <w:rPr>
          <w:sz w:val="28"/>
          <w:szCs w:val="28"/>
        </w:rPr>
        <w:t xml:space="preserve">е, концессионного соглашения за пределами планового периода, над максимальным годовым объемом средств на финансирование соглашения 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партнерстве, концессионного соглашения в пределах планового периода.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 заключении концессионно</w:t>
      </w:r>
      <w:r>
        <w:rPr>
          <w:sz w:val="28"/>
          <w:szCs w:val="28"/>
        </w:rPr>
        <w:t xml:space="preserve">го соглашения, решение о заключении соглашения 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партнерстве на срок, превышающий срок действия утвержденных лимитов бюджетных обязательств, является основанием для проведения конкурса на право заключения концессионного соглашения (сог</w:t>
      </w:r>
      <w:r>
        <w:rPr>
          <w:sz w:val="28"/>
          <w:szCs w:val="28"/>
        </w:rPr>
        <w:t xml:space="preserve">лашения 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партнерстве).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В случае согласования финансовым управлением проекта постановления проект постановления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направляется отраслевому органу для дальнейшего согласования в соответствии с инструкцией по делопроизводству в админист</w:t>
      </w:r>
      <w:r>
        <w:rPr>
          <w:sz w:val="28"/>
          <w:szCs w:val="28"/>
        </w:rPr>
        <w:t>рации, утвержденной постановлением администрации муниципального образования Северский район от 15 июля 2024 года № 1434.</w:t>
      </w:r>
    </w:p>
    <w:p w:rsidR="007D4DAA" w:rsidRDefault="00790BA0">
      <w:pPr>
        <w:pStyle w:val="af3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В случае несогласования проекта постановления финансовое управление готовит заключение о нецелесообразности заключения соглашения о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партнерстве, концессионного соглашения и направляет указанное заключение с проектом постановления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отраслевому органу для доработки проекта соглашения 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партнерстве, концессионного соглашения либо подготовки отказа</w:t>
      </w:r>
      <w:r>
        <w:rPr>
          <w:sz w:val="28"/>
          <w:szCs w:val="28"/>
        </w:rPr>
        <w:t xml:space="preserve"> от его заключения.</w:t>
      </w:r>
    </w:p>
    <w:p w:rsidR="007D4DAA" w:rsidRDefault="007D4DAA">
      <w:pPr>
        <w:pStyle w:val="af3"/>
        <w:spacing w:beforeAutospacing="0" w:afterAutospacing="0"/>
        <w:jc w:val="both"/>
        <w:rPr>
          <w:sz w:val="28"/>
          <w:szCs w:val="28"/>
        </w:rPr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3259"/>
        <w:gridCol w:w="1986"/>
      </w:tblGrid>
      <w:tr w:rsidR="007D4DAA">
        <w:trPr>
          <w:trHeight w:val="1564"/>
        </w:trPr>
        <w:tc>
          <w:tcPr>
            <w:tcW w:w="4111" w:type="dxa"/>
            <w:shd w:val="clear" w:color="auto" w:fill="auto"/>
            <w:vAlign w:val="bottom"/>
          </w:tcPr>
          <w:p w:rsidR="007D4DAA" w:rsidRDefault="00790B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(начальник финансового управления)</w:t>
            </w:r>
          </w:p>
        </w:tc>
        <w:tc>
          <w:tcPr>
            <w:tcW w:w="3259" w:type="dxa"/>
          </w:tcPr>
          <w:p w:rsidR="007D4DAA" w:rsidRDefault="00790BA0">
            <w:pPr>
              <w:rPr>
                <w:szCs w:val="28"/>
              </w:rPr>
            </w:pPr>
            <w:r>
              <w:rPr>
                <w:color w:val="FF0000"/>
                <w:szCs w:val="28"/>
              </w:rPr>
              <w:t>[</w:t>
            </w:r>
            <w:r>
              <w:rPr>
                <w:color w:val="FF0000"/>
                <w:szCs w:val="28"/>
                <w:lang w:val="en-US"/>
              </w:rPr>
              <w:t>SIGNERSTAMP</w:t>
            </w:r>
            <w:r>
              <w:rPr>
                <w:color w:val="FF0000"/>
                <w:szCs w:val="28"/>
              </w:rPr>
              <w:t>1]</w:t>
            </w:r>
          </w:p>
        </w:tc>
        <w:tc>
          <w:tcPr>
            <w:tcW w:w="1986" w:type="dxa"/>
            <w:shd w:val="clear" w:color="auto" w:fill="auto"/>
            <w:vAlign w:val="bottom"/>
          </w:tcPr>
          <w:p w:rsidR="007D4DAA" w:rsidRDefault="00790BA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 xml:space="preserve">                                                                                </w:t>
            </w:r>
            <w:r>
              <w:rPr>
                <w:color w:val="000000"/>
                <w:sz w:val="28"/>
                <w:szCs w:val="28"/>
              </w:rPr>
              <w:t xml:space="preserve">К.В. </w:t>
            </w:r>
            <w:proofErr w:type="spellStart"/>
            <w:r>
              <w:rPr>
                <w:color w:val="000000"/>
                <w:sz w:val="28"/>
                <w:szCs w:val="28"/>
              </w:rPr>
              <w:t>Леуцкая</w:t>
            </w:r>
            <w:proofErr w:type="spellEnd"/>
          </w:p>
        </w:tc>
      </w:tr>
    </w:tbl>
    <w:p w:rsidR="007D4DAA" w:rsidRDefault="007D4DAA">
      <w:pPr>
        <w:rPr>
          <w:sz w:val="32"/>
        </w:rPr>
      </w:pPr>
    </w:p>
    <w:sectPr w:rsidR="007D4DAA">
      <w:headerReference w:type="even" r:id="rId11"/>
      <w:headerReference w:type="default" r:id="rId12"/>
      <w:headerReference w:type="first" r:id="rId13"/>
      <w:pgSz w:w="11906" w:h="16838"/>
      <w:pgMar w:top="1134" w:right="851" w:bottom="1134" w:left="1701" w:header="709" w:footer="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90BA0">
      <w:r>
        <w:separator/>
      </w:r>
    </w:p>
  </w:endnote>
  <w:endnote w:type="continuationSeparator" w:id="0">
    <w:p w:rsidR="00000000" w:rsidRDefault="00790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90BA0">
      <w:r>
        <w:separator/>
      </w:r>
    </w:p>
  </w:footnote>
  <w:footnote w:type="continuationSeparator" w:id="0">
    <w:p w:rsidR="00000000" w:rsidRDefault="00790B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4DAA" w:rsidRDefault="007D4DAA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4DAA" w:rsidRDefault="00790BA0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7D4DAA" w:rsidRDefault="007D4DAA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4DAA" w:rsidRDefault="007D4DA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634DA5"/>
    <w:multiLevelType w:val="multilevel"/>
    <w:tmpl w:val="DF6A8E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4B17918"/>
    <w:multiLevelType w:val="multilevel"/>
    <w:tmpl w:val="D80865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DAA"/>
    <w:rsid w:val="005E179C"/>
    <w:rsid w:val="00790BA0"/>
    <w:rsid w:val="007D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6DA2F-D30D-42FA-A8F8-A76AFE6DD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16216"/>
    <w:pPr>
      <w:keepNext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58C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5">
    <w:name w:val="heading 5"/>
    <w:basedOn w:val="a"/>
    <w:next w:val="a"/>
    <w:qFormat/>
    <w:pPr>
      <w:keepNext/>
      <w:widowControl w:val="0"/>
      <w:numPr>
        <w:ilvl w:val="4"/>
        <w:numId w:val="2"/>
      </w:numPr>
      <w:tabs>
        <w:tab w:val="left" w:pos="1176"/>
      </w:tabs>
      <w:spacing w:line="324" w:lineRule="exact"/>
      <w:jc w:val="both"/>
      <w:outlineLvl w:val="4"/>
    </w:pPr>
    <w:rPr>
      <w:color w:val="000000"/>
      <w:spacing w:val="6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  <w:rPr>
      <w:sz w:val="28"/>
      <w:szCs w:val="28"/>
    </w:rPr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  <w:rPr>
      <w:sz w:val="28"/>
      <w:szCs w:val="28"/>
    </w:rPr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11">
    <w:name w:val="Основной шрифт абзаца1"/>
    <w:qFormat/>
  </w:style>
  <w:style w:type="character" w:customStyle="1" w:styleId="a3">
    <w:name w:val="Гипертекстовая ссылка"/>
    <w:uiPriority w:val="99"/>
    <w:qFormat/>
    <w:rPr>
      <w:color w:val="008000"/>
    </w:rPr>
  </w:style>
  <w:style w:type="character" w:styleId="a4">
    <w:name w:val="Hyperlink"/>
    <w:rPr>
      <w:color w:val="000080"/>
      <w:u w:val="single"/>
    </w:rPr>
  </w:style>
  <w:style w:type="character" w:customStyle="1" w:styleId="a5">
    <w:name w:val="Символ нумерации"/>
    <w:qFormat/>
    <w:rPr>
      <w:sz w:val="28"/>
      <w:szCs w:val="28"/>
    </w:rPr>
  </w:style>
  <w:style w:type="character" w:customStyle="1" w:styleId="a6">
    <w:name w:val="Текст выноски Знак"/>
    <w:link w:val="a7"/>
    <w:uiPriority w:val="99"/>
    <w:semiHidden/>
    <w:qFormat/>
    <w:rsid w:val="00521031"/>
    <w:rPr>
      <w:rFonts w:ascii="Segoe UI" w:hAnsi="Segoe UI" w:cs="Segoe UI"/>
      <w:sz w:val="18"/>
      <w:szCs w:val="18"/>
      <w:lang w:eastAsia="ar-SA"/>
    </w:rPr>
  </w:style>
  <w:style w:type="character" w:customStyle="1" w:styleId="30">
    <w:name w:val="Заголовок 3 Знак"/>
    <w:link w:val="3"/>
    <w:uiPriority w:val="9"/>
    <w:semiHidden/>
    <w:qFormat/>
    <w:rsid w:val="001F58CF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10">
    <w:name w:val="Заголовок 1 Знак"/>
    <w:link w:val="1"/>
    <w:uiPriority w:val="9"/>
    <w:qFormat/>
    <w:rsid w:val="00916216"/>
    <w:rPr>
      <w:rFonts w:ascii="Calibri Light" w:eastAsia="Times New Roman" w:hAnsi="Calibri Light" w:cs="Times New Roman"/>
      <w:b/>
      <w:bCs/>
      <w:kern w:val="2"/>
      <w:sz w:val="32"/>
      <w:szCs w:val="32"/>
      <w:lang w:eastAsia="ar-SA"/>
    </w:rPr>
  </w:style>
  <w:style w:type="character" w:customStyle="1" w:styleId="a8">
    <w:name w:val="Верхний колонтитул Знак"/>
    <w:link w:val="a9"/>
    <w:uiPriority w:val="99"/>
    <w:qFormat/>
    <w:rsid w:val="001F1C2E"/>
    <w:rPr>
      <w:sz w:val="24"/>
      <w:szCs w:val="24"/>
      <w:lang w:eastAsia="ar-SA"/>
    </w:rPr>
  </w:style>
  <w:style w:type="character" w:customStyle="1" w:styleId="aa">
    <w:name w:val="Цветовое выделение"/>
    <w:qFormat/>
    <w:rsid w:val="001C4BA9"/>
    <w:rPr>
      <w:b/>
      <w:bCs w:val="0"/>
      <w:color w:val="26282F"/>
    </w:rPr>
  </w:style>
  <w:style w:type="character" w:customStyle="1" w:styleId="hyperlink0">
    <w:name w:val="hyperlink0"/>
    <w:qFormat/>
    <w:rsid w:val="00E147B4"/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c">
    <w:name w:val="Body Text"/>
    <w:basedOn w:val="a"/>
    <w:pPr>
      <w:jc w:val="center"/>
    </w:pPr>
    <w:rPr>
      <w:sz w:val="28"/>
      <w:szCs w:val="20"/>
    </w:rPr>
  </w:style>
  <w:style w:type="paragraph" w:styleId="ad">
    <w:name w:val="List"/>
    <w:basedOn w:val="ac"/>
    <w:rPr>
      <w:rFonts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af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12">
    <w:name w:val="Заголовок1"/>
    <w:basedOn w:val="a"/>
    <w:next w:val="ac"/>
    <w:qFormat/>
    <w:rsid w:val="001C4BA9"/>
    <w:pPr>
      <w:jc w:val="center"/>
    </w:pPr>
    <w:rPr>
      <w:b/>
      <w:bCs/>
    </w:rPr>
  </w:style>
  <w:style w:type="paragraph" w:customStyle="1" w:styleId="13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FR1">
    <w:name w:val="FR1"/>
    <w:qFormat/>
    <w:pPr>
      <w:widowControl w:val="0"/>
      <w:ind w:left="1040"/>
    </w:pPr>
    <w:rPr>
      <w:rFonts w:ascii="Arial" w:hAnsi="Arial" w:cs="Arial"/>
      <w:sz w:val="64"/>
      <w:lang w:eastAsia="ar-SA"/>
    </w:rPr>
  </w:style>
  <w:style w:type="paragraph" w:customStyle="1" w:styleId="Iauiue1">
    <w:name w:val="Iau?iue1"/>
    <w:qFormat/>
    <w:pPr>
      <w:widowControl w:val="0"/>
    </w:pPr>
    <w:rPr>
      <w:lang w:eastAsia="ar-SA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a"/>
    <w:qFormat/>
  </w:style>
  <w:style w:type="paragraph" w:styleId="a9">
    <w:name w:val="header"/>
    <w:basedOn w:val="a"/>
    <w:link w:val="a8"/>
    <w:uiPriority w:val="99"/>
    <w:pPr>
      <w:suppressLineNumbers/>
      <w:tabs>
        <w:tab w:val="center" w:pos="4677"/>
        <w:tab w:val="right" w:pos="9354"/>
      </w:tabs>
    </w:pPr>
  </w:style>
  <w:style w:type="paragraph" w:styleId="af2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21">
    <w:name w:val="Основной текст 21"/>
    <w:basedOn w:val="a"/>
    <w:qFormat/>
    <w:pPr>
      <w:widowControl w:val="0"/>
      <w:ind w:left="284"/>
      <w:jc w:val="both"/>
    </w:pPr>
    <w:rPr>
      <w:sz w:val="28"/>
      <w:szCs w:val="20"/>
    </w:rPr>
  </w:style>
  <w:style w:type="paragraph" w:customStyle="1" w:styleId="15">
    <w:name w:val="Обычный (веб)1"/>
    <w:basedOn w:val="a"/>
    <w:qFormat/>
  </w:style>
  <w:style w:type="paragraph" w:styleId="a7">
    <w:name w:val="Balloon Text"/>
    <w:basedOn w:val="a"/>
    <w:link w:val="a6"/>
    <w:uiPriority w:val="99"/>
    <w:semiHidden/>
    <w:unhideWhenUsed/>
    <w:qFormat/>
    <w:rsid w:val="00521031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qFormat/>
    <w:rsid w:val="00833E28"/>
    <w:pPr>
      <w:suppressAutoHyphens w:val="0"/>
      <w:spacing w:beforeAutospacing="1" w:afterAutospacing="1"/>
    </w:pPr>
    <w:rPr>
      <w:lang w:eastAsia="ru-RU"/>
    </w:rPr>
  </w:style>
  <w:style w:type="paragraph" w:styleId="af3">
    <w:name w:val="Normal (Web)"/>
    <w:basedOn w:val="a"/>
    <w:uiPriority w:val="99"/>
    <w:unhideWhenUsed/>
    <w:qFormat/>
    <w:rsid w:val="00E147B4"/>
    <w:pPr>
      <w:suppressAutoHyphens w:val="0"/>
      <w:spacing w:beforeAutospacing="1" w:afterAutospacing="1"/>
    </w:pPr>
    <w:rPr>
      <w:lang w:eastAsia="ru-RU"/>
    </w:rPr>
  </w:style>
  <w:style w:type="paragraph" w:customStyle="1" w:styleId="16">
    <w:name w:val="Нижний колонтитул1"/>
    <w:basedOn w:val="a"/>
    <w:qFormat/>
    <w:rsid w:val="00E147B4"/>
    <w:pPr>
      <w:suppressAutoHyphens w:val="0"/>
      <w:spacing w:beforeAutospacing="1" w:afterAutospacing="1"/>
    </w:pPr>
    <w:rPr>
      <w:lang w:eastAsia="ru-RU"/>
    </w:rPr>
  </w:style>
  <w:style w:type="paragraph" w:customStyle="1" w:styleId="Style5">
    <w:name w:val="Style5"/>
    <w:basedOn w:val="a"/>
    <w:qFormat/>
    <w:rsid w:val="007725C0"/>
    <w:pPr>
      <w:widowControl w:val="0"/>
      <w:suppressAutoHyphens w:val="0"/>
      <w:spacing w:line="317" w:lineRule="exact"/>
      <w:ind w:hanging="346"/>
    </w:pPr>
    <w:rPr>
      <w:lang w:eastAsia="ru-RU"/>
    </w:rPr>
  </w:style>
  <w:style w:type="numbering" w:customStyle="1" w:styleId="af4">
    <w:name w:val="Без списка"/>
    <w:uiPriority w:val="99"/>
    <w:semiHidden/>
    <w:unhideWhenUsed/>
    <w:qFormat/>
  </w:style>
  <w:style w:type="table" w:styleId="af5">
    <w:name w:val="Table Grid"/>
    <w:basedOn w:val="a1"/>
    <w:uiPriority w:val="39"/>
    <w:rsid w:val="00D90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DD3B7F78-3BC1-454F-9E24-18757385DC4C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8F21B21C-A408-42C4-B9FE-A939B863C84A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ravo-search.minjust.ru/bigs/showDocument.html?id=DD3B7F78-3BC1-454F-9E24-18757385DC4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DD3B7F78-3BC1-454F-9E24-18757385DC4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1468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Климова Алла Михайловна</cp:lastModifiedBy>
  <cp:revision>3</cp:revision>
  <cp:lastPrinted>2024-11-19T14:18:00Z</cp:lastPrinted>
  <dcterms:created xsi:type="dcterms:W3CDTF">2025-07-16T08:51:00Z</dcterms:created>
  <dcterms:modified xsi:type="dcterms:W3CDTF">2025-07-16T08:51:00Z</dcterms:modified>
  <dc:language>ru-RU</dc:language>
</cp:coreProperties>
</file>